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 w:val="0"/>
          <w:bCs/>
          <w:sz w:val="28"/>
          <w:szCs w:val="28"/>
        </w:rPr>
      </w:pPr>
      <w:bookmarkStart w:id="0" w:name="_GoBack"/>
      <w:r>
        <w:rPr>
          <w:b w:val="0"/>
          <w:bCs/>
          <w:sz w:val="28"/>
          <w:szCs w:val="28"/>
        </w:rPr>
        <w:t>Пояснительная записка</w:t>
      </w:r>
    </w:p>
    <w:p>
      <w:pPr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к проекту постановления Правительства Камчатского края «О</w:t>
      </w:r>
      <w:r>
        <w:rPr>
          <w:b w:val="0"/>
          <w:bCs/>
          <w:color w:val="000000"/>
          <w:sz w:val="28"/>
          <w:szCs w:val="28"/>
        </w:rPr>
        <w:t>б утверждении Порядка предоставления субсидии из краевого бюджета акционерному обществу «Камчатское агентство по ипотечному жилищному кредитованию» на возмещение части недополученных доходов в связи с</w:t>
      </w:r>
      <w:r>
        <w:rPr>
          <w:b w:val="0"/>
          <w:bCs/>
          <w:sz w:val="28"/>
          <w:szCs w:val="28"/>
        </w:rPr>
        <w:t xml:space="preserve"> реализацией мероприятия «Предоставление льготного арендного жилья для отдельных категорий граждан» государственной программы Камчатского края «Обеспечение доступным и комфортным жильем жителей Камчатского края»</w:t>
      </w:r>
    </w:p>
    <w:bookmarkEnd w:id="0"/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Правительства Камчатского края разработан в целях возмещения </w:t>
      </w:r>
      <w:r>
        <w:rPr>
          <w:bCs/>
          <w:color w:val="000000"/>
          <w:sz w:val="28"/>
          <w:szCs w:val="28"/>
        </w:rPr>
        <w:t xml:space="preserve">акционерному обществу «Камчатское агентство по ипотечному жилищному кредитованию» </w:t>
      </w:r>
      <w:r>
        <w:rPr>
          <w:color w:val="000000"/>
          <w:sz w:val="28"/>
          <w:szCs w:val="28"/>
        </w:rPr>
        <w:t>части недополученных доходов в связи с реализацией мероприятия «Предоставление льготного арендного жилья для отдельных категорий граждан» государственной программы Камчатского края «Обеспечение доступным и комфортным жильем жителей Камчатского края».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Данное мероприятие включено в состав государственной программы Камчатского края «Обеспечение доступным и комфортным жильем жителей Камчатского края» в соответствии с Программой «Доступное жильё в Дальневосточном федеральном округе», утвержденной решением Президиума АО ДОМ.РФ  от 00.00.2000 № 00 (далее - Программа) во исполнение пункта 4 Перечня поручений Президента Российской Федерации В.В. Путина от 19.10.2022 № Пр-1991 по итогам Восточного экономического форума, пункта 1 Перечня поручений Председателя Правительства Российской Федерации М.В. Мишустина от 14.11.2022 № ММ-П31-19466 по реализации Стратегических инициатив Правительства Российской Федерации по преодолению негативных тенденций и обеспечению роста численности населения Дальнего Востока на период до 2031 года.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Реализация Программы </w:t>
      </w:r>
      <w:r>
        <w:rPr>
          <w:sz w:val="28"/>
          <w:szCs w:val="28"/>
        </w:rPr>
        <w:t xml:space="preserve">предусматривается за счет трех источников: средств федерального бюджета, средств краевого бюджета, а также средств физических лиц (арендаторов), посредством приобретения АО ДОМ.РФ квартир у застройщиков Камчатского края по расчетной цене и последующей передачи данных квартир через </w:t>
      </w:r>
      <w:r>
        <w:rPr>
          <w:bCs/>
          <w:color w:val="000000"/>
          <w:sz w:val="28"/>
          <w:szCs w:val="28"/>
        </w:rPr>
        <w:t xml:space="preserve">акционерное общество «Камчатское агентство по ипотечному жилищному кредитованию» </w:t>
      </w:r>
      <w:r>
        <w:rPr>
          <w:sz w:val="28"/>
          <w:szCs w:val="28"/>
        </w:rPr>
        <w:t>во временное пользование (аренду) отдельным категориям граждан, утверждаемым Министерством строительства и жилищной политики Камчатского края.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объема квартир, запанированных к выкупу, и среднего размера арендной платы, предварительный размер средств краевого бюджета, требуемый на реализацию данного мероприятия, составляет: в 2023 году - 12 248,67 тыс. рублей или 4 082,9 тыс. рублей в месяц; в 2024 году - 51 444,38 тыс. рублей или 4 287,0 тыс. рублей в месяц; в 2025 году – 54 016,60 тыс. рублей или 4 501,38 тыс. рублей в месяц.</w:t>
      </w:r>
    </w:p>
    <w:p>
      <w:pPr>
        <w:spacing w:after="0" w:line="240" w:lineRule="auto"/>
        <w:ind w:firstLine="708"/>
        <w:jc w:val="both"/>
        <w:rPr>
          <w:rFonts w:hint="default" w:ascii="Times New Roman" w:hAnsi="Times New Roman" w:eastAsia="Times New Roman" w:cs="Times New Roman"/>
          <w:sz w:val="28"/>
          <w:szCs w:val="24"/>
          <w:lang w:val="ru-RU"/>
        </w:rPr>
      </w:pPr>
      <w:r>
        <w:rPr>
          <w:sz w:val="28"/>
          <w:szCs w:val="28"/>
        </w:rPr>
        <w:t>Проект постановления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</w:t>
      </w:r>
      <w:r>
        <w:rPr>
          <w:rFonts w:hint="default"/>
          <w:sz w:val="28"/>
          <w:szCs w:val="28"/>
          <w:lang w:val="ru-RU"/>
        </w:rPr>
        <w:t>.</w:t>
      </w:r>
    </w:p>
    <w:p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>Проект постановления 21.0</w:t>
      </w:r>
      <w:r>
        <w:rPr>
          <w:rFonts w:hint="default" w:cs="Times New Roman"/>
          <w:sz w:val="28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sz w:val="28"/>
          <w:szCs w:val="24"/>
        </w:rPr>
        <w:t>.202</w:t>
      </w:r>
      <w:r>
        <w:rPr>
          <w:rFonts w:hint="default" w:cs="Times New Roman"/>
          <w:sz w:val="28"/>
          <w:szCs w:val="24"/>
          <w:lang w:val="ru-RU"/>
        </w:rPr>
        <w:t>3</w:t>
      </w:r>
      <w:r>
        <w:rPr>
          <w:rFonts w:ascii="Times New Roman" w:hAnsi="Times New Roman" w:eastAsia="Times New Roman" w:cs="Times New Roman"/>
          <w:sz w:val="28"/>
          <w:szCs w:val="24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до </w:t>
      </w:r>
      <w:r>
        <w:rPr>
          <w:rFonts w:hint="default" w:cs="Times New Roman"/>
          <w:sz w:val="28"/>
          <w:szCs w:val="24"/>
          <w:lang w:val="ru-RU"/>
        </w:rPr>
        <w:t>27</w:t>
      </w:r>
      <w:r>
        <w:rPr>
          <w:rFonts w:ascii="Times New Roman" w:hAnsi="Times New Roman" w:eastAsia="Times New Roman" w:cs="Times New Roman"/>
          <w:sz w:val="28"/>
          <w:szCs w:val="24"/>
        </w:rPr>
        <w:t>.0</w:t>
      </w:r>
      <w:r>
        <w:rPr>
          <w:rFonts w:hint="default" w:cs="Times New Roman"/>
          <w:sz w:val="28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sz w:val="28"/>
          <w:szCs w:val="24"/>
        </w:rPr>
        <w:t>.202</w:t>
      </w:r>
      <w:r>
        <w:rPr>
          <w:rFonts w:hint="default" w:cs="Times New Roman"/>
          <w:sz w:val="28"/>
          <w:szCs w:val="24"/>
          <w:lang w:val="ru-RU"/>
        </w:rPr>
        <w:t>3</w:t>
      </w:r>
      <w:r>
        <w:rPr>
          <w:rFonts w:ascii="Times New Roman" w:hAnsi="Times New Roman" w:eastAsia="Times New Roman" w:cs="Times New Roman"/>
          <w:sz w:val="28"/>
          <w:szCs w:val="24"/>
        </w:rPr>
        <w:t xml:space="preserve"> независимой антикоррупционной экспертизы.  </w:t>
      </w:r>
    </w:p>
    <w:p>
      <w:pPr>
        <w:ind w:firstLine="709"/>
        <w:jc w:val="both"/>
        <w:rPr>
          <w:sz w:val="28"/>
          <w:szCs w:val="28"/>
        </w:rPr>
      </w:pPr>
    </w:p>
    <w:sectPr>
      <w:pgSz w:w="11906" w:h="16838"/>
      <w:pgMar w:top="1134" w:right="850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B4"/>
    <w:rsid w:val="000104A4"/>
    <w:rsid w:val="00047F49"/>
    <w:rsid w:val="000E32D6"/>
    <w:rsid w:val="0012196B"/>
    <w:rsid w:val="00400D6D"/>
    <w:rsid w:val="00436922"/>
    <w:rsid w:val="004A3B0A"/>
    <w:rsid w:val="004C7EF3"/>
    <w:rsid w:val="00627BAD"/>
    <w:rsid w:val="00646DA8"/>
    <w:rsid w:val="006B0E62"/>
    <w:rsid w:val="00701ED6"/>
    <w:rsid w:val="0072395B"/>
    <w:rsid w:val="00782A73"/>
    <w:rsid w:val="008B14B5"/>
    <w:rsid w:val="00A4778A"/>
    <w:rsid w:val="00AE2AEE"/>
    <w:rsid w:val="00AF5AC1"/>
    <w:rsid w:val="00B63CF0"/>
    <w:rsid w:val="00BB5F36"/>
    <w:rsid w:val="00C30A58"/>
    <w:rsid w:val="00C96B16"/>
    <w:rsid w:val="00CB2B84"/>
    <w:rsid w:val="00D27AF8"/>
    <w:rsid w:val="00E607CC"/>
    <w:rsid w:val="00E674B4"/>
    <w:rsid w:val="00F17BD5"/>
    <w:rsid w:val="00FA0F0D"/>
    <w:rsid w:val="24D456F9"/>
    <w:rsid w:val="2FDE333C"/>
    <w:rsid w:val="31EC5663"/>
    <w:rsid w:val="4E6F71D5"/>
    <w:rsid w:val="68D0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Krokoz™</Company>
  <Pages>1</Pages>
  <Words>391</Words>
  <Characters>2235</Characters>
  <Lines>18</Lines>
  <Paragraphs>5</Paragraphs>
  <TotalTime>2</TotalTime>
  <ScaleCrop>false</ScaleCrop>
  <LinksUpToDate>false</LinksUpToDate>
  <CharactersWithSpaces>2621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2023-08-17T22:17:00Z</dcterms:created>
  <dc:creator>user</dc:creator>
  <cp:lastModifiedBy>SchternerEV</cp:lastModifiedBy>
  <dcterms:modified xsi:type="dcterms:W3CDTF">2023-08-18T08:05:19Z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1181F6D01B8348768E23C3983A4DC6B8</vt:lpwstr>
  </property>
</Properties>
</file>